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7A" w:rsidRPr="00DE337A" w:rsidRDefault="00DE337A" w:rsidP="00DE337A">
      <w:pPr>
        <w:autoSpaceDE w:val="0"/>
        <w:autoSpaceDN w:val="0"/>
        <w:adjustRightInd w:val="0"/>
        <w:spacing w:after="0" w:line="360" w:lineRule="auto"/>
        <w:ind w:firstLine="709"/>
        <w:jc w:val="center"/>
        <w:rPr>
          <w:rFonts w:ascii="Arial" w:hAnsi="Arial" w:cs="Arial"/>
          <w:b/>
          <w:bCs/>
          <w:color w:val="221E1F"/>
          <w:sz w:val="40"/>
          <w:szCs w:val="40"/>
          <w:u w:val="single"/>
        </w:rPr>
      </w:pPr>
      <w:r w:rsidRPr="00DE337A">
        <w:rPr>
          <w:rFonts w:ascii="Arial" w:hAnsi="Arial" w:cs="Arial"/>
          <w:b/>
          <w:bCs/>
          <w:color w:val="221E1F"/>
          <w:sz w:val="40"/>
          <w:szCs w:val="40"/>
          <w:u w:val="single"/>
        </w:rPr>
        <w:t>COMUNICADO</w:t>
      </w:r>
      <w:r>
        <w:rPr>
          <w:rFonts w:ascii="Arial" w:hAnsi="Arial" w:cs="Arial"/>
          <w:b/>
          <w:bCs/>
          <w:color w:val="221E1F"/>
          <w:sz w:val="40"/>
          <w:szCs w:val="40"/>
          <w:u w:val="single"/>
        </w:rPr>
        <w:t xml:space="preserve"> </w:t>
      </w:r>
    </w:p>
    <w:p w:rsidR="00DE337A" w:rsidRDefault="00DE337A" w:rsidP="00DE337A">
      <w:pPr>
        <w:autoSpaceDE w:val="0"/>
        <w:autoSpaceDN w:val="0"/>
        <w:adjustRightInd w:val="0"/>
        <w:spacing w:after="0" w:line="240" w:lineRule="exact"/>
        <w:ind w:firstLine="708"/>
        <w:jc w:val="both"/>
        <w:rPr>
          <w:rFonts w:ascii="Arial" w:hAnsi="Arial" w:cs="Arial"/>
          <w:bCs/>
          <w:color w:val="221E1F"/>
          <w:sz w:val="24"/>
          <w:szCs w:val="24"/>
        </w:rPr>
      </w:pPr>
      <w:r>
        <w:rPr>
          <w:rFonts w:ascii="Arial" w:hAnsi="Arial" w:cs="Arial"/>
          <w:bCs/>
          <w:color w:val="221E1F"/>
          <w:sz w:val="24"/>
          <w:szCs w:val="24"/>
        </w:rPr>
        <w:t>Según el Decreto Legislativo 1105 publicado el 19  de abril del 2012, a</w:t>
      </w:r>
      <w:r w:rsidRPr="00555875">
        <w:rPr>
          <w:rFonts w:ascii="Arial" w:hAnsi="Arial" w:cs="Arial"/>
          <w:bCs/>
          <w:color w:val="221E1F"/>
          <w:sz w:val="24"/>
          <w:szCs w:val="24"/>
        </w:rPr>
        <w:t xml:space="preserve"> partir </w:t>
      </w:r>
      <w:proofErr w:type="gramStart"/>
      <w:r w:rsidRPr="00555875">
        <w:rPr>
          <w:rFonts w:ascii="Arial" w:hAnsi="Arial" w:cs="Arial"/>
          <w:bCs/>
          <w:color w:val="221E1F"/>
          <w:sz w:val="24"/>
          <w:szCs w:val="24"/>
        </w:rPr>
        <w:t xml:space="preserve">del </w:t>
      </w:r>
      <w:r>
        <w:rPr>
          <w:rFonts w:ascii="Arial" w:hAnsi="Arial" w:cs="Arial"/>
          <w:bCs/>
          <w:color w:val="221E1F"/>
          <w:sz w:val="24"/>
          <w:szCs w:val="24"/>
        </w:rPr>
        <w:t>día</w:t>
      </w:r>
      <w:proofErr w:type="gramEnd"/>
      <w:r>
        <w:rPr>
          <w:rFonts w:ascii="Arial" w:hAnsi="Arial" w:cs="Arial"/>
          <w:bCs/>
          <w:color w:val="221E1F"/>
          <w:sz w:val="24"/>
          <w:szCs w:val="24"/>
        </w:rPr>
        <w:t xml:space="preserve"> </w:t>
      </w:r>
      <w:r w:rsidRPr="00555875">
        <w:rPr>
          <w:rFonts w:ascii="Arial" w:hAnsi="Arial" w:cs="Arial"/>
          <w:b/>
          <w:bCs/>
          <w:color w:val="221E1F"/>
          <w:sz w:val="24"/>
          <w:szCs w:val="24"/>
        </w:rPr>
        <w:t>Viernes</w:t>
      </w:r>
      <w:r>
        <w:rPr>
          <w:rFonts w:ascii="Arial" w:hAnsi="Arial" w:cs="Arial"/>
          <w:bCs/>
          <w:color w:val="221E1F"/>
          <w:sz w:val="24"/>
          <w:szCs w:val="24"/>
        </w:rPr>
        <w:t xml:space="preserve"> </w:t>
      </w:r>
      <w:r w:rsidRPr="00555875">
        <w:rPr>
          <w:rFonts w:ascii="Arial" w:hAnsi="Arial" w:cs="Arial"/>
          <w:b/>
          <w:bCs/>
          <w:color w:val="221E1F"/>
          <w:sz w:val="24"/>
          <w:szCs w:val="24"/>
        </w:rPr>
        <w:t>20 de abril del 2012</w:t>
      </w:r>
      <w:r w:rsidRPr="00555875">
        <w:rPr>
          <w:rFonts w:ascii="Arial" w:hAnsi="Arial" w:cs="Arial"/>
          <w:bCs/>
          <w:color w:val="221E1F"/>
          <w:sz w:val="24"/>
          <w:szCs w:val="24"/>
        </w:rPr>
        <w:t xml:space="preserve"> e</w:t>
      </w:r>
      <w:r>
        <w:rPr>
          <w:rFonts w:ascii="Arial" w:hAnsi="Arial" w:cs="Arial"/>
          <w:bCs/>
          <w:color w:val="221E1F"/>
          <w:sz w:val="24"/>
          <w:szCs w:val="24"/>
        </w:rPr>
        <w:t xml:space="preserve">mpezó a computarse el plazo de </w:t>
      </w:r>
      <w:r w:rsidRPr="00555875">
        <w:rPr>
          <w:rFonts w:ascii="Arial" w:hAnsi="Arial" w:cs="Arial"/>
          <w:bCs/>
          <w:color w:val="221E1F"/>
          <w:sz w:val="24"/>
          <w:szCs w:val="24"/>
        </w:rPr>
        <w:t>60 días calendario, para que quienes ejerzan actividad minera metálica o no metálica</w:t>
      </w:r>
      <w:r>
        <w:rPr>
          <w:rFonts w:ascii="Arial" w:hAnsi="Arial" w:cs="Arial"/>
          <w:bCs/>
          <w:color w:val="221E1F"/>
          <w:sz w:val="24"/>
          <w:szCs w:val="24"/>
        </w:rPr>
        <w:t xml:space="preserve"> sin cumplir con los requisitos de Ley, puedan iniciar el proceso de formalización.</w:t>
      </w:r>
    </w:p>
    <w:p w:rsidR="00DE337A" w:rsidRDefault="00DE337A" w:rsidP="00DE337A">
      <w:pPr>
        <w:autoSpaceDE w:val="0"/>
        <w:autoSpaceDN w:val="0"/>
        <w:adjustRightInd w:val="0"/>
        <w:spacing w:after="0" w:line="240" w:lineRule="exact"/>
        <w:jc w:val="both"/>
        <w:rPr>
          <w:rFonts w:ascii="Arial" w:hAnsi="Arial" w:cs="Arial"/>
          <w:bCs/>
          <w:color w:val="221E1F"/>
          <w:sz w:val="24"/>
          <w:szCs w:val="24"/>
        </w:rPr>
      </w:pPr>
      <w:r>
        <w:rPr>
          <w:rFonts w:ascii="Arial" w:hAnsi="Arial" w:cs="Arial"/>
          <w:bCs/>
          <w:color w:val="221E1F"/>
          <w:sz w:val="24"/>
          <w:szCs w:val="24"/>
        </w:rPr>
        <w:t xml:space="preserve">Es decir, quienes hasta el día </w:t>
      </w:r>
      <w:r w:rsidRPr="00555875">
        <w:rPr>
          <w:rFonts w:ascii="Arial" w:hAnsi="Arial" w:cs="Arial"/>
          <w:b/>
          <w:bCs/>
          <w:color w:val="221E1F"/>
          <w:sz w:val="24"/>
          <w:szCs w:val="24"/>
        </w:rPr>
        <w:t>L</w:t>
      </w:r>
      <w:r w:rsidRPr="00555875">
        <w:rPr>
          <w:rFonts w:ascii="Arial" w:hAnsi="Arial" w:cs="Arial"/>
          <w:b/>
          <w:bCs/>
          <w:color w:val="221E1F"/>
          <w:sz w:val="28"/>
          <w:szCs w:val="28"/>
        </w:rPr>
        <w:t>unes 18 de junio del 2012</w:t>
      </w:r>
      <w:r>
        <w:rPr>
          <w:rFonts w:ascii="Arial" w:hAnsi="Arial" w:cs="Arial"/>
          <w:bCs/>
          <w:color w:val="221E1F"/>
          <w:sz w:val="24"/>
          <w:szCs w:val="24"/>
        </w:rPr>
        <w:t xml:space="preserve"> no inicien su proceso de formalización, </w:t>
      </w:r>
      <w:r w:rsidR="0098395D">
        <w:rPr>
          <w:rFonts w:ascii="Arial" w:hAnsi="Arial" w:cs="Arial"/>
          <w:bCs/>
          <w:color w:val="221E1F"/>
          <w:sz w:val="24"/>
          <w:szCs w:val="24"/>
        </w:rPr>
        <w:t xml:space="preserve">SERAN CONSIDERADOS ILEGALES, y </w:t>
      </w:r>
      <w:r>
        <w:rPr>
          <w:rFonts w:ascii="Arial" w:hAnsi="Arial" w:cs="Arial"/>
          <w:bCs/>
          <w:color w:val="221E1F"/>
          <w:sz w:val="24"/>
          <w:szCs w:val="24"/>
        </w:rPr>
        <w:t>a partir del 19 de junio serán pasibles de la aplicación del Decreto Legislativo 1100 y el Decreto Legislativo 1102, los cuales regulan la Interdicción de la Minería Ilegal en toda la República del Perú y la Incorporación al Código Penal los delitos de minería Ilegal respectivamente.</w:t>
      </w:r>
    </w:p>
    <w:p w:rsidR="00DE337A" w:rsidRDefault="00DE337A" w:rsidP="00DE337A">
      <w:pPr>
        <w:autoSpaceDE w:val="0"/>
        <w:autoSpaceDN w:val="0"/>
        <w:adjustRightInd w:val="0"/>
        <w:spacing w:after="0" w:line="240" w:lineRule="exact"/>
        <w:jc w:val="both"/>
        <w:rPr>
          <w:rFonts w:ascii="Arial" w:hAnsi="Arial" w:cs="Arial"/>
          <w:bCs/>
          <w:color w:val="221E1F"/>
          <w:sz w:val="24"/>
          <w:szCs w:val="24"/>
        </w:rPr>
      </w:pPr>
      <w:r>
        <w:rPr>
          <w:rFonts w:ascii="Arial" w:hAnsi="Arial" w:cs="Arial"/>
          <w:bCs/>
          <w:color w:val="221E1F"/>
          <w:sz w:val="24"/>
          <w:szCs w:val="24"/>
        </w:rPr>
        <w:t xml:space="preserve">El delito de Minería Ilegal contempla </w:t>
      </w:r>
      <w:r w:rsidRPr="007A5EB7">
        <w:rPr>
          <w:rFonts w:ascii="Arial" w:hAnsi="Arial" w:cs="Arial"/>
          <w:b/>
          <w:bCs/>
          <w:i/>
          <w:color w:val="221E1F"/>
          <w:sz w:val="24"/>
          <w:szCs w:val="24"/>
          <w:u w:val="single"/>
        </w:rPr>
        <w:t>penas de privativa de la libertad</w:t>
      </w:r>
      <w:r>
        <w:rPr>
          <w:rFonts w:ascii="Arial" w:hAnsi="Arial" w:cs="Arial"/>
          <w:bCs/>
          <w:color w:val="221E1F"/>
          <w:sz w:val="24"/>
          <w:szCs w:val="24"/>
        </w:rPr>
        <w:t xml:space="preserve">  de 4 a 8 años en su forma simple y de 8 a 10 años en su forma agravada.</w:t>
      </w:r>
    </w:p>
    <w:p w:rsidR="00DE337A" w:rsidRPr="00D71A44" w:rsidRDefault="00DE337A" w:rsidP="00DE337A">
      <w:pPr>
        <w:autoSpaceDE w:val="0"/>
        <w:autoSpaceDN w:val="0"/>
        <w:adjustRightInd w:val="0"/>
        <w:spacing w:after="0" w:line="240" w:lineRule="exact"/>
        <w:jc w:val="both"/>
        <w:rPr>
          <w:rFonts w:ascii="Arial" w:hAnsi="Arial" w:cs="Arial"/>
          <w:b/>
          <w:bCs/>
          <w:color w:val="221E1F"/>
          <w:sz w:val="24"/>
          <w:szCs w:val="24"/>
        </w:rPr>
      </w:pPr>
      <w:r w:rsidRPr="00D71A44">
        <w:rPr>
          <w:rFonts w:ascii="Arial" w:hAnsi="Arial" w:cs="Arial"/>
          <w:b/>
          <w:bCs/>
          <w:color w:val="221E1F"/>
          <w:sz w:val="24"/>
          <w:szCs w:val="24"/>
        </w:rPr>
        <w:t>¿Como Inicio el Proceso de Formalización?</w:t>
      </w:r>
    </w:p>
    <w:p w:rsidR="00DE337A" w:rsidRDefault="00DE337A" w:rsidP="00DE337A">
      <w:pPr>
        <w:autoSpaceDE w:val="0"/>
        <w:autoSpaceDN w:val="0"/>
        <w:adjustRightInd w:val="0"/>
        <w:spacing w:after="0" w:line="240" w:lineRule="exact"/>
        <w:jc w:val="both"/>
        <w:rPr>
          <w:rFonts w:ascii="Arial" w:hAnsi="Arial" w:cs="Arial"/>
          <w:color w:val="221E1F"/>
          <w:sz w:val="24"/>
          <w:szCs w:val="24"/>
        </w:rPr>
      </w:pPr>
      <w:r w:rsidRPr="001F1F6D">
        <w:rPr>
          <w:rFonts w:ascii="Arial" w:hAnsi="Arial" w:cs="Arial"/>
          <w:color w:val="221E1F"/>
          <w:sz w:val="24"/>
          <w:szCs w:val="24"/>
        </w:rPr>
        <w:t>El Proceso de Formalización se considerará iniciado co</w:t>
      </w:r>
      <w:r>
        <w:rPr>
          <w:rFonts w:ascii="Arial" w:hAnsi="Arial" w:cs="Arial"/>
          <w:color w:val="221E1F"/>
          <w:sz w:val="24"/>
          <w:szCs w:val="24"/>
        </w:rPr>
        <w:t xml:space="preserve">n la presentación de la </w:t>
      </w:r>
      <w:r w:rsidRPr="001F1F6D">
        <w:rPr>
          <w:rFonts w:ascii="Arial" w:hAnsi="Arial" w:cs="Arial"/>
          <w:color w:val="221E1F"/>
          <w:sz w:val="24"/>
          <w:szCs w:val="24"/>
        </w:rPr>
        <w:t>Declaración de Compromisos</w:t>
      </w:r>
      <w:r>
        <w:rPr>
          <w:rFonts w:ascii="Arial" w:hAnsi="Arial" w:cs="Arial"/>
          <w:color w:val="221E1F"/>
          <w:sz w:val="24"/>
          <w:szCs w:val="24"/>
        </w:rPr>
        <w:t xml:space="preserve">, </w:t>
      </w:r>
      <w:r w:rsidRPr="001F1F6D">
        <w:rPr>
          <w:rFonts w:ascii="Arial" w:hAnsi="Arial" w:cs="Arial"/>
          <w:color w:val="221E1F"/>
          <w:sz w:val="24"/>
          <w:szCs w:val="24"/>
        </w:rPr>
        <w:t>según Formato contenido en el Anexo 1</w:t>
      </w:r>
      <w:r>
        <w:rPr>
          <w:rFonts w:ascii="Arial" w:hAnsi="Arial" w:cs="Arial"/>
          <w:color w:val="221E1F"/>
          <w:sz w:val="24"/>
          <w:szCs w:val="24"/>
        </w:rPr>
        <w:t xml:space="preserve"> del Decreto Legislativo 1105</w:t>
      </w:r>
      <w:r w:rsidRPr="001F1F6D">
        <w:rPr>
          <w:rFonts w:ascii="Arial" w:hAnsi="Arial" w:cs="Arial"/>
          <w:color w:val="221E1F"/>
          <w:sz w:val="24"/>
          <w:szCs w:val="24"/>
        </w:rPr>
        <w:t>, lo que permite al solicitante encontrarse en proceso de formalización</w:t>
      </w:r>
      <w:r>
        <w:rPr>
          <w:rFonts w:ascii="Arial" w:hAnsi="Arial" w:cs="Arial"/>
          <w:color w:val="221E1F"/>
          <w:sz w:val="24"/>
          <w:szCs w:val="24"/>
        </w:rPr>
        <w:t xml:space="preserve">; dicho documento deberá ser presentado por </w:t>
      </w:r>
      <w:r w:rsidRPr="001F1F6D">
        <w:rPr>
          <w:rFonts w:ascii="Arial" w:hAnsi="Arial" w:cs="Arial"/>
          <w:color w:val="221E1F"/>
          <w:sz w:val="24"/>
          <w:szCs w:val="24"/>
        </w:rPr>
        <w:t>la persona, natural o jurídica, ante el Gobierno Regional correspondiente</w:t>
      </w:r>
      <w:r>
        <w:rPr>
          <w:rFonts w:ascii="Arial" w:hAnsi="Arial" w:cs="Arial"/>
          <w:color w:val="221E1F"/>
          <w:sz w:val="24"/>
          <w:szCs w:val="24"/>
        </w:rPr>
        <w:t>.</w:t>
      </w:r>
    </w:p>
    <w:p w:rsidR="00DE337A" w:rsidRDefault="00DE337A" w:rsidP="00DE337A">
      <w:pPr>
        <w:autoSpaceDE w:val="0"/>
        <w:autoSpaceDN w:val="0"/>
        <w:adjustRightInd w:val="0"/>
        <w:spacing w:after="0" w:line="240" w:lineRule="exact"/>
        <w:jc w:val="both"/>
        <w:rPr>
          <w:rFonts w:ascii="Arial" w:hAnsi="Arial" w:cs="Arial"/>
          <w:b/>
          <w:bCs/>
          <w:color w:val="221E1F"/>
          <w:sz w:val="24"/>
          <w:szCs w:val="24"/>
          <w:u w:val="single"/>
        </w:rPr>
      </w:pPr>
    </w:p>
    <w:p w:rsidR="00DE337A" w:rsidRDefault="00DE337A" w:rsidP="00DE337A">
      <w:pPr>
        <w:autoSpaceDE w:val="0"/>
        <w:autoSpaceDN w:val="0"/>
        <w:adjustRightInd w:val="0"/>
        <w:spacing w:after="0" w:line="240" w:lineRule="exact"/>
        <w:jc w:val="both"/>
        <w:rPr>
          <w:rFonts w:ascii="Arial" w:hAnsi="Arial" w:cs="Arial"/>
          <w:b/>
          <w:bCs/>
          <w:color w:val="221E1F"/>
          <w:sz w:val="24"/>
          <w:szCs w:val="24"/>
          <w:u w:val="single"/>
        </w:rPr>
      </w:pPr>
    </w:p>
    <w:p w:rsidR="00DE337A" w:rsidRDefault="00DE337A" w:rsidP="00DE337A">
      <w:pPr>
        <w:autoSpaceDE w:val="0"/>
        <w:autoSpaceDN w:val="0"/>
        <w:adjustRightInd w:val="0"/>
        <w:spacing w:after="0" w:line="240" w:lineRule="exact"/>
        <w:jc w:val="both"/>
        <w:rPr>
          <w:rFonts w:ascii="Arial" w:hAnsi="Arial" w:cs="Arial"/>
          <w:bCs/>
          <w:color w:val="221E1F"/>
          <w:sz w:val="24"/>
          <w:szCs w:val="24"/>
        </w:rPr>
      </w:pPr>
      <w:r w:rsidRPr="0085769C">
        <w:rPr>
          <w:rFonts w:ascii="Arial" w:hAnsi="Arial" w:cs="Arial"/>
          <w:bCs/>
          <w:color w:val="221E1F"/>
          <w:sz w:val="24"/>
          <w:szCs w:val="24"/>
        </w:rPr>
        <w:t xml:space="preserve">Más Información: </w:t>
      </w:r>
    </w:p>
    <w:p w:rsidR="00DE337A" w:rsidRPr="0085769C" w:rsidRDefault="00DE337A" w:rsidP="00DE337A">
      <w:pPr>
        <w:autoSpaceDE w:val="0"/>
        <w:autoSpaceDN w:val="0"/>
        <w:adjustRightInd w:val="0"/>
        <w:spacing w:after="0" w:line="240" w:lineRule="exact"/>
        <w:jc w:val="both"/>
        <w:rPr>
          <w:rFonts w:ascii="Arial" w:hAnsi="Arial" w:cs="Arial"/>
          <w:bCs/>
          <w:color w:val="221E1F"/>
          <w:sz w:val="24"/>
          <w:szCs w:val="24"/>
        </w:rPr>
      </w:pPr>
      <w:r w:rsidRPr="0085769C">
        <w:rPr>
          <w:rFonts w:ascii="Arial" w:hAnsi="Arial" w:cs="Arial"/>
          <w:b/>
          <w:bCs/>
          <w:color w:val="221E1F"/>
          <w:sz w:val="24"/>
          <w:szCs w:val="24"/>
          <w:u w:val="single"/>
        </w:rPr>
        <w:t>DIRECCION REGIONAL DE ENERGIA Y MINAS DE CAJAMARCA</w:t>
      </w:r>
    </w:p>
    <w:p w:rsidR="00DE337A" w:rsidRPr="0085769C" w:rsidRDefault="00DE337A" w:rsidP="00DE337A">
      <w:pPr>
        <w:autoSpaceDE w:val="0"/>
        <w:autoSpaceDN w:val="0"/>
        <w:adjustRightInd w:val="0"/>
        <w:spacing w:after="0" w:line="240" w:lineRule="exact"/>
        <w:jc w:val="both"/>
        <w:rPr>
          <w:rFonts w:ascii="Arial" w:hAnsi="Arial" w:cs="Arial"/>
          <w:bCs/>
          <w:color w:val="221E1F"/>
          <w:sz w:val="24"/>
          <w:szCs w:val="24"/>
        </w:rPr>
      </w:pPr>
      <w:r w:rsidRPr="0085769C">
        <w:rPr>
          <w:rFonts w:ascii="Arial" w:hAnsi="Arial" w:cs="Arial"/>
          <w:bCs/>
          <w:color w:val="221E1F"/>
          <w:sz w:val="24"/>
          <w:szCs w:val="24"/>
        </w:rPr>
        <w:t>DIRECCION</w:t>
      </w:r>
      <w:proofErr w:type="gramStart"/>
      <w:r w:rsidRPr="0085769C">
        <w:rPr>
          <w:rFonts w:ascii="Arial" w:hAnsi="Arial" w:cs="Arial"/>
          <w:bCs/>
          <w:color w:val="221E1F"/>
          <w:sz w:val="24"/>
          <w:szCs w:val="24"/>
        </w:rPr>
        <w:t>:  Av</w:t>
      </w:r>
      <w:proofErr w:type="gramEnd"/>
      <w:r w:rsidRPr="0085769C">
        <w:rPr>
          <w:rFonts w:ascii="Arial" w:hAnsi="Arial" w:cs="Arial"/>
          <w:bCs/>
          <w:color w:val="221E1F"/>
          <w:sz w:val="24"/>
          <w:szCs w:val="24"/>
        </w:rPr>
        <w:t>. 13 de Julio Nº 284 - CAJAMARCA</w:t>
      </w:r>
    </w:p>
    <w:p w:rsidR="00DE337A" w:rsidRPr="0085769C" w:rsidRDefault="00DE337A" w:rsidP="00DE337A">
      <w:pPr>
        <w:autoSpaceDE w:val="0"/>
        <w:autoSpaceDN w:val="0"/>
        <w:adjustRightInd w:val="0"/>
        <w:spacing w:after="0" w:line="240" w:lineRule="exact"/>
        <w:jc w:val="both"/>
        <w:rPr>
          <w:rFonts w:ascii="Arial" w:hAnsi="Arial" w:cs="Arial"/>
          <w:bCs/>
          <w:color w:val="221E1F"/>
          <w:sz w:val="24"/>
          <w:szCs w:val="24"/>
          <w:lang w:val="en-US"/>
        </w:rPr>
      </w:pPr>
      <w:r w:rsidRPr="0085769C">
        <w:rPr>
          <w:rFonts w:ascii="Arial" w:hAnsi="Arial" w:cs="Arial"/>
          <w:bCs/>
          <w:color w:val="221E1F"/>
          <w:sz w:val="24"/>
          <w:szCs w:val="24"/>
        </w:rPr>
        <w:t xml:space="preserve">            </w:t>
      </w:r>
      <w:r w:rsidRPr="0085769C">
        <w:rPr>
          <w:rFonts w:ascii="Arial" w:hAnsi="Arial" w:cs="Arial"/>
          <w:bCs/>
          <w:color w:val="221E1F"/>
          <w:sz w:val="24"/>
          <w:szCs w:val="24"/>
          <w:lang w:val="en-US"/>
        </w:rPr>
        <w:t>Email:  rcajamarca</w:t>
      </w:r>
      <w:hyperlink r:id="rId5" w:history="1">
        <w:r w:rsidRPr="0085769C">
          <w:rPr>
            <w:rStyle w:val="Hipervnculo"/>
            <w:rFonts w:ascii="Arial" w:hAnsi="Arial" w:cs="Arial"/>
            <w:b/>
            <w:bCs/>
            <w:sz w:val="24"/>
            <w:szCs w:val="24"/>
            <w:lang w:val="en-US"/>
          </w:rPr>
          <w:t>@minem.gob.pe</w:t>
        </w:r>
      </w:hyperlink>
    </w:p>
    <w:p w:rsidR="00DE337A" w:rsidRPr="0085769C" w:rsidRDefault="00DE337A" w:rsidP="00DE337A">
      <w:pPr>
        <w:autoSpaceDE w:val="0"/>
        <w:autoSpaceDN w:val="0"/>
        <w:adjustRightInd w:val="0"/>
        <w:spacing w:after="0" w:line="240" w:lineRule="exact"/>
        <w:jc w:val="both"/>
        <w:rPr>
          <w:rFonts w:ascii="Arial" w:hAnsi="Arial" w:cs="Arial"/>
          <w:bCs/>
          <w:color w:val="221E1F"/>
          <w:sz w:val="24"/>
          <w:szCs w:val="24"/>
          <w:lang w:val="en-US"/>
        </w:rPr>
      </w:pPr>
      <w:r w:rsidRPr="0085769C">
        <w:rPr>
          <w:rFonts w:ascii="Arial" w:hAnsi="Arial" w:cs="Arial"/>
          <w:bCs/>
          <w:color w:val="221E1F"/>
          <w:sz w:val="24"/>
          <w:szCs w:val="24"/>
          <w:lang w:val="en-US"/>
        </w:rPr>
        <w:t xml:space="preserve">       </w:t>
      </w:r>
      <w:proofErr w:type="spellStart"/>
      <w:r w:rsidRPr="0085769C">
        <w:rPr>
          <w:rFonts w:ascii="Arial" w:hAnsi="Arial" w:cs="Arial"/>
          <w:bCs/>
          <w:color w:val="221E1F"/>
          <w:sz w:val="24"/>
          <w:szCs w:val="24"/>
          <w:lang w:val="en-US"/>
        </w:rPr>
        <w:t>Teléfono</w:t>
      </w:r>
      <w:proofErr w:type="spellEnd"/>
      <w:r w:rsidRPr="0085769C">
        <w:rPr>
          <w:rFonts w:ascii="Arial" w:hAnsi="Arial" w:cs="Arial"/>
          <w:bCs/>
          <w:color w:val="221E1F"/>
          <w:sz w:val="24"/>
          <w:szCs w:val="24"/>
          <w:lang w:val="en-US"/>
        </w:rPr>
        <w:t>:   (076) 363487</w:t>
      </w:r>
    </w:p>
    <w:p w:rsidR="00DE337A" w:rsidRPr="0085769C" w:rsidRDefault="00DE337A" w:rsidP="00DE337A">
      <w:pPr>
        <w:autoSpaceDE w:val="0"/>
        <w:autoSpaceDN w:val="0"/>
        <w:adjustRightInd w:val="0"/>
        <w:spacing w:after="0" w:line="240" w:lineRule="exact"/>
        <w:jc w:val="both"/>
        <w:rPr>
          <w:rFonts w:ascii="Arial" w:hAnsi="Arial" w:cs="Arial"/>
          <w:bCs/>
          <w:color w:val="221E1F"/>
          <w:sz w:val="24"/>
          <w:szCs w:val="24"/>
          <w:lang w:val="en-US"/>
        </w:rPr>
      </w:pPr>
    </w:p>
    <w:p w:rsidR="00DE337A" w:rsidRPr="0085769C" w:rsidRDefault="00DE337A" w:rsidP="00DE337A">
      <w:pPr>
        <w:autoSpaceDE w:val="0"/>
        <w:autoSpaceDN w:val="0"/>
        <w:adjustRightInd w:val="0"/>
        <w:spacing w:after="0" w:line="240" w:lineRule="exact"/>
        <w:jc w:val="both"/>
        <w:rPr>
          <w:rFonts w:ascii="Arial" w:hAnsi="Arial" w:cs="Arial"/>
          <w:b/>
          <w:bCs/>
          <w:color w:val="221E1F"/>
          <w:sz w:val="24"/>
          <w:szCs w:val="24"/>
          <w:lang w:val="en-US"/>
        </w:rPr>
      </w:pPr>
    </w:p>
    <w:p w:rsidR="00DE337A" w:rsidRDefault="00DE337A" w:rsidP="00DE337A">
      <w:pPr>
        <w:autoSpaceDE w:val="0"/>
        <w:autoSpaceDN w:val="0"/>
        <w:adjustRightInd w:val="0"/>
        <w:spacing w:after="0" w:line="240" w:lineRule="exact"/>
        <w:rPr>
          <w:rFonts w:ascii="Arial" w:hAnsi="Arial" w:cs="Arial"/>
          <w:b/>
          <w:bCs/>
          <w:color w:val="221E1F"/>
          <w:sz w:val="24"/>
          <w:szCs w:val="24"/>
          <w:u w:val="single"/>
        </w:rPr>
      </w:pPr>
      <w:r w:rsidRPr="00555875">
        <w:rPr>
          <w:rFonts w:ascii="Arial" w:hAnsi="Arial" w:cs="Arial"/>
          <w:b/>
          <w:bCs/>
          <w:color w:val="221E1F"/>
          <w:sz w:val="24"/>
          <w:szCs w:val="24"/>
          <w:u w:val="single"/>
        </w:rPr>
        <w:t>DECRETO LEGISLATIVO 1105</w:t>
      </w:r>
    </w:p>
    <w:p w:rsidR="00DE337A" w:rsidRPr="00555875" w:rsidRDefault="00DE337A" w:rsidP="00DE337A">
      <w:pPr>
        <w:autoSpaceDE w:val="0"/>
        <w:autoSpaceDN w:val="0"/>
        <w:adjustRightInd w:val="0"/>
        <w:spacing w:after="0" w:line="240" w:lineRule="exact"/>
        <w:jc w:val="center"/>
        <w:rPr>
          <w:rFonts w:ascii="Arial" w:hAnsi="Arial" w:cs="Arial"/>
          <w:b/>
          <w:bCs/>
          <w:color w:val="221E1F"/>
          <w:sz w:val="24"/>
          <w:szCs w:val="24"/>
          <w:u w:val="single"/>
        </w:rPr>
      </w:pPr>
      <w:bookmarkStart w:id="0" w:name="_GoBack"/>
      <w:bookmarkEnd w:id="0"/>
    </w:p>
    <w:p w:rsidR="00DE337A" w:rsidRPr="001F1F6D" w:rsidRDefault="00DE337A" w:rsidP="00DE337A">
      <w:pPr>
        <w:autoSpaceDE w:val="0"/>
        <w:autoSpaceDN w:val="0"/>
        <w:adjustRightInd w:val="0"/>
        <w:spacing w:after="0" w:line="240" w:lineRule="exact"/>
        <w:jc w:val="both"/>
        <w:rPr>
          <w:rFonts w:ascii="Arial" w:hAnsi="Arial" w:cs="Arial"/>
          <w:b/>
          <w:bCs/>
          <w:color w:val="221E1F"/>
          <w:sz w:val="24"/>
          <w:szCs w:val="24"/>
        </w:rPr>
      </w:pPr>
      <w:r w:rsidRPr="001F1F6D">
        <w:rPr>
          <w:rFonts w:ascii="Arial" w:hAnsi="Arial" w:cs="Arial"/>
          <w:b/>
          <w:bCs/>
          <w:color w:val="221E1F"/>
          <w:sz w:val="24"/>
          <w:szCs w:val="24"/>
        </w:rPr>
        <w:t>Artículo 5º.- De la Declaración de Compromisos</w:t>
      </w:r>
    </w:p>
    <w:p w:rsidR="00DE337A" w:rsidRPr="001F1F6D" w:rsidRDefault="00DE337A" w:rsidP="00DE337A">
      <w:pPr>
        <w:autoSpaceDE w:val="0"/>
        <w:autoSpaceDN w:val="0"/>
        <w:adjustRightInd w:val="0"/>
        <w:spacing w:after="0" w:line="240" w:lineRule="exact"/>
        <w:jc w:val="both"/>
        <w:rPr>
          <w:rFonts w:ascii="Arial" w:hAnsi="Arial" w:cs="Arial"/>
          <w:color w:val="221E1F"/>
          <w:sz w:val="24"/>
          <w:szCs w:val="24"/>
        </w:rPr>
      </w:pPr>
      <w:r w:rsidRPr="001F1F6D">
        <w:rPr>
          <w:rFonts w:ascii="Arial" w:hAnsi="Arial" w:cs="Arial"/>
          <w:color w:val="221E1F"/>
          <w:sz w:val="24"/>
          <w:szCs w:val="24"/>
        </w:rPr>
        <w:t>La Declaración de Compromisos es un documento que,</w:t>
      </w:r>
      <w:r w:rsidRPr="001F1F6D">
        <w:rPr>
          <w:rFonts w:ascii="Arial" w:hAnsi="Arial" w:cs="Arial"/>
          <w:b/>
          <w:bCs/>
          <w:color w:val="221E1F"/>
          <w:sz w:val="24"/>
          <w:szCs w:val="24"/>
        </w:rPr>
        <w:t xml:space="preserve"> </w:t>
      </w:r>
      <w:r w:rsidRPr="001F1F6D">
        <w:rPr>
          <w:rFonts w:ascii="Arial" w:hAnsi="Arial" w:cs="Arial"/>
          <w:color w:val="221E1F"/>
          <w:sz w:val="24"/>
          <w:szCs w:val="24"/>
        </w:rPr>
        <w:t xml:space="preserve">según Formato contenido en el Anexo 1 del presente dispositivo, deberá presentar la persona, natural o jurídica, ante el Gobierno Regional correspondiente, en un plazo de sesenta (60) días calendario contados a partir de la entrada en vigencia de la presente norma. El Proceso de Formalización se considerará iniciado con la presentación de la referida Declaración, lo que permite al solicitante encontrarse en proceso de formalización. </w:t>
      </w:r>
    </w:p>
    <w:p w:rsidR="00DE337A" w:rsidRPr="001F1F6D" w:rsidRDefault="00DE337A" w:rsidP="00DE337A">
      <w:pPr>
        <w:autoSpaceDE w:val="0"/>
        <w:autoSpaceDN w:val="0"/>
        <w:adjustRightInd w:val="0"/>
        <w:spacing w:after="0" w:line="240" w:lineRule="exact"/>
        <w:jc w:val="both"/>
        <w:rPr>
          <w:rFonts w:ascii="Times New Roman" w:hAnsi="Times New Roman" w:cs="Times New Roman"/>
          <w:sz w:val="24"/>
          <w:szCs w:val="24"/>
        </w:rPr>
      </w:pPr>
      <w:r w:rsidRPr="001F1F6D">
        <w:rPr>
          <w:rFonts w:ascii="Arial" w:hAnsi="Arial" w:cs="Arial"/>
          <w:color w:val="221E1F"/>
          <w:sz w:val="24"/>
          <w:szCs w:val="24"/>
        </w:rPr>
        <w:t xml:space="preserve">La Declaración de Compromisos será materia de registro por el Gobierno Regional y se encontrará vigente hasta que se otorgue al administrado las autorizaciones detalladas en el numeral 6 del artículo 4º de la presente norma; o hasta el momento en que se </w:t>
      </w:r>
      <w:proofErr w:type="spellStart"/>
      <w:r w:rsidRPr="001F1F6D">
        <w:rPr>
          <w:rFonts w:ascii="Arial" w:hAnsi="Arial" w:cs="Arial"/>
          <w:color w:val="221E1F"/>
          <w:sz w:val="24"/>
          <w:szCs w:val="24"/>
        </w:rPr>
        <w:t>veriﬁque</w:t>
      </w:r>
      <w:proofErr w:type="spellEnd"/>
      <w:r w:rsidRPr="001F1F6D">
        <w:rPr>
          <w:rFonts w:ascii="Arial" w:hAnsi="Arial" w:cs="Arial"/>
          <w:color w:val="221E1F"/>
          <w:sz w:val="24"/>
          <w:szCs w:val="24"/>
        </w:rPr>
        <w:t xml:space="preserve"> el incumplimiento de los requisitos establecidos en este dispositivo y la normativa vigente.</w:t>
      </w:r>
    </w:p>
    <w:p w:rsidR="00DE337A" w:rsidRPr="001F1F6D" w:rsidRDefault="00DE337A" w:rsidP="00DE337A">
      <w:pPr>
        <w:autoSpaceDE w:val="0"/>
        <w:autoSpaceDN w:val="0"/>
        <w:adjustRightInd w:val="0"/>
        <w:spacing w:after="0" w:line="240" w:lineRule="exact"/>
        <w:jc w:val="both"/>
        <w:rPr>
          <w:rFonts w:ascii="Times New Roman" w:hAnsi="Times New Roman" w:cs="Times New Roman"/>
          <w:sz w:val="24"/>
          <w:szCs w:val="24"/>
        </w:rPr>
      </w:pPr>
      <w:r w:rsidRPr="001F1F6D">
        <w:rPr>
          <w:rFonts w:ascii="Arial" w:hAnsi="Arial" w:cs="Arial"/>
          <w:color w:val="221E1F"/>
          <w:sz w:val="24"/>
          <w:szCs w:val="24"/>
        </w:rPr>
        <w:t>El Gobierno Regional tendrá a su cargo la implementación del mencionado registro, el cual se constituye en un registro administrativo de carácter público. El Gobierno Regional deberá comunicar al Ministerio de Energía y Minas la presentación de la Declaración de Compromisos. Dicha comunicación deberá ser efectuada, bajo responsabilidad, dentro de las cuarenta y ocho (48) horas de presentada por el interesado al Gobierno Regional, para efectos de que el Ministerio de Energía y Minas lleve el registro nacional de dichas Declaraciones de Compromisos.</w:t>
      </w:r>
    </w:p>
    <w:p w:rsidR="00DE337A" w:rsidRPr="001F1F6D" w:rsidRDefault="00DE337A" w:rsidP="00DE337A">
      <w:pPr>
        <w:autoSpaceDE w:val="0"/>
        <w:autoSpaceDN w:val="0"/>
        <w:adjustRightInd w:val="0"/>
        <w:spacing w:after="0" w:line="240" w:lineRule="exact"/>
        <w:jc w:val="both"/>
        <w:rPr>
          <w:sz w:val="24"/>
          <w:szCs w:val="24"/>
        </w:rPr>
      </w:pPr>
      <w:r w:rsidRPr="001F1F6D">
        <w:rPr>
          <w:rFonts w:ascii="Arial" w:hAnsi="Arial" w:cs="Arial"/>
          <w:color w:val="221E1F"/>
          <w:sz w:val="24"/>
          <w:szCs w:val="24"/>
        </w:rPr>
        <w:t xml:space="preserve">En caso el Gobierno Regional </w:t>
      </w:r>
      <w:proofErr w:type="spellStart"/>
      <w:r w:rsidRPr="001F1F6D">
        <w:rPr>
          <w:rFonts w:ascii="Arial" w:hAnsi="Arial" w:cs="Arial"/>
          <w:color w:val="221E1F"/>
          <w:sz w:val="24"/>
          <w:szCs w:val="24"/>
        </w:rPr>
        <w:t>veriﬁcara</w:t>
      </w:r>
      <w:proofErr w:type="spellEnd"/>
      <w:r w:rsidRPr="001F1F6D">
        <w:rPr>
          <w:rFonts w:ascii="Arial" w:hAnsi="Arial" w:cs="Arial"/>
          <w:color w:val="221E1F"/>
          <w:sz w:val="24"/>
          <w:szCs w:val="24"/>
        </w:rPr>
        <w:t xml:space="preserve"> el incumplimiento tanto de los requisitos establecidos por ley como de los compromisos suscritos por el interesado en la Declaración de Compromisos antes referida, se procederá a la cancelación de la mencionada Declaración y de su inscripción en el registro.</w:t>
      </w:r>
    </w:p>
    <w:p w:rsidR="008C28F6" w:rsidRDefault="0098395D" w:rsidP="00DE337A">
      <w:pPr>
        <w:spacing w:line="240" w:lineRule="exact"/>
      </w:pPr>
    </w:p>
    <w:sectPr w:rsidR="008C28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37A"/>
    <w:rsid w:val="00015ED1"/>
    <w:rsid w:val="00677B43"/>
    <w:rsid w:val="0098395D"/>
    <w:rsid w:val="00DE33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337A"/>
    <w:rPr>
      <w:color w:val="0000FF" w:themeColor="hyperlink"/>
      <w:u w:val="single"/>
    </w:rPr>
  </w:style>
  <w:style w:type="paragraph" w:styleId="Textodeglobo">
    <w:name w:val="Balloon Text"/>
    <w:basedOn w:val="Normal"/>
    <w:link w:val="TextodegloboCar"/>
    <w:uiPriority w:val="99"/>
    <w:semiHidden/>
    <w:unhideWhenUsed/>
    <w:rsid w:val="00DE33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3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E337A"/>
    <w:rPr>
      <w:color w:val="0000FF" w:themeColor="hyperlink"/>
      <w:u w:val="single"/>
    </w:rPr>
  </w:style>
  <w:style w:type="paragraph" w:styleId="Textodeglobo">
    <w:name w:val="Balloon Text"/>
    <w:basedOn w:val="Normal"/>
    <w:link w:val="TextodegloboCar"/>
    <w:uiPriority w:val="99"/>
    <w:semiHidden/>
    <w:unhideWhenUsed/>
    <w:rsid w:val="00DE337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3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ebmaster@minem.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508</Words>
  <Characters>2796</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cp:lastPrinted>2012-05-14T15:08:00Z</cp:lastPrinted>
  <dcterms:created xsi:type="dcterms:W3CDTF">2012-05-14T15:05:00Z</dcterms:created>
  <dcterms:modified xsi:type="dcterms:W3CDTF">2012-05-14T15:21:00Z</dcterms:modified>
</cp:coreProperties>
</file>