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0D7" w:rsidRPr="003440D7" w:rsidRDefault="003440D7" w:rsidP="003440D7">
      <w:pPr>
        <w:ind w:left="708" w:hanging="708"/>
        <w:jc w:val="center"/>
        <w:rPr>
          <w:rFonts w:ascii="Arial" w:hAnsi="Arial" w:cs="Arial"/>
          <w:u w:val="single"/>
        </w:rPr>
      </w:pPr>
      <w:r w:rsidRPr="003440D7">
        <w:rPr>
          <w:b/>
          <w:u w:val="single"/>
        </w:rPr>
        <w:t>PROYECTO DE ORDENANZA REGIONAL QUE REGULA LA ADQUISICIÓN DE MATERIALES DE</w:t>
      </w:r>
      <w:r>
        <w:rPr>
          <w:b/>
          <w:u w:val="single"/>
        </w:rPr>
        <w:t xml:space="preserve"> </w:t>
      </w:r>
      <w:r w:rsidRPr="003440D7">
        <w:rPr>
          <w:b/>
          <w:u w:val="single"/>
        </w:rPr>
        <w:t>CONSTRUCCION; POR PARTE DE MUNICIPALIDADES (DISTRITALES Y PROVINCIALES)  Y EL GOBIERNO  REGIONAL DE CAJAMARCA</w:t>
      </w:r>
    </w:p>
    <w:p w:rsidR="003440D7" w:rsidRPr="0059715B" w:rsidRDefault="003440D7" w:rsidP="003440D7">
      <w:pPr>
        <w:jc w:val="both"/>
        <w:rPr>
          <w:rFonts w:ascii="Arial" w:hAnsi="Arial" w:cs="Arial"/>
        </w:rPr>
      </w:pPr>
      <w:r w:rsidRPr="00A86C5D">
        <w:rPr>
          <w:rFonts w:ascii="Arial" w:hAnsi="Arial" w:cs="Arial"/>
        </w:rPr>
        <w:t>Mediante D.S. No 014-92-EM.- Texto Único Ordena</w:t>
      </w:r>
      <w:r w:rsidR="00790838">
        <w:rPr>
          <w:rFonts w:ascii="Arial" w:hAnsi="Arial" w:cs="Arial"/>
        </w:rPr>
        <w:t>do de la Ley General de Minería</w:t>
      </w:r>
      <w:r w:rsidRPr="00A86C5D">
        <w:rPr>
          <w:rFonts w:ascii="Arial" w:hAnsi="Arial" w:cs="Arial"/>
        </w:rPr>
        <w:t xml:space="preserve"> (04.06.92)</w:t>
      </w:r>
      <w:r w:rsidR="00790838">
        <w:rPr>
          <w:rFonts w:ascii="Arial" w:hAnsi="Arial" w:cs="Arial"/>
        </w:rPr>
        <w:t xml:space="preserve">, </w:t>
      </w:r>
      <w:r w:rsidRPr="00A86C5D">
        <w:rPr>
          <w:rFonts w:ascii="Arial" w:hAnsi="Arial" w:cs="Arial"/>
        </w:rPr>
        <w:t>en</w:t>
      </w:r>
      <w:r w:rsidR="00790838">
        <w:rPr>
          <w:rFonts w:ascii="Arial" w:hAnsi="Arial" w:cs="Arial"/>
        </w:rPr>
        <w:t xml:space="preserve"> </w:t>
      </w:r>
      <w:r w:rsidRPr="00A86C5D">
        <w:rPr>
          <w:rFonts w:ascii="Arial" w:hAnsi="Arial" w:cs="Arial"/>
        </w:rPr>
        <w:t>su Artículo 13,</w:t>
      </w:r>
      <w:r w:rsidR="00790838">
        <w:rPr>
          <w:rFonts w:ascii="Arial" w:hAnsi="Arial" w:cs="Arial"/>
        </w:rPr>
        <w:t xml:space="preserve"> </w:t>
      </w:r>
      <w:r w:rsidRPr="00A86C5D">
        <w:rPr>
          <w:rFonts w:ascii="Arial" w:hAnsi="Arial" w:cs="Arial"/>
          <w:bCs/>
        </w:rPr>
        <w:t>se establece que l</w:t>
      </w:r>
      <w:r w:rsidRPr="00A86C5D">
        <w:rPr>
          <w:rFonts w:ascii="Arial" w:hAnsi="Arial" w:cs="Arial"/>
        </w:rPr>
        <w:t>as</w:t>
      </w:r>
      <w:r w:rsidRPr="0059715B">
        <w:rPr>
          <w:rFonts w:ascii="Arial" w:hAnsi="Arial" w:cs="Arial"/>
        </w:rPr>
        <w:t xml:space="preserve"> concesiones mineras que se otorguen a partir de 15 de diciembre de 1991, se clasificarán en </w:t>
      </w:r>
      <w:r w:rsidRPr="00A86C5D">
        <w:rPr>
          <w:rFonts w:ascii="Arial" w:hAnsi="Arial" w:cs="Arial"/>
          <w:b/>
        </w:rPr>
        <w:t xml:space="preserve">Metálicas </w:t>
      </w:r>
      <w:r>
        <w:rPr>
          <w:rFonts w:ascii="Arial" w:hAnsi="Arial" w:cs="Arial"/>
          <w:b/>
        </w:rPr>
        <w:t>y</w:t>
      </w:r>
      <w:r w:rsidRPr="00A86C5D">
        <w:rPr>
          <w:rFonts w:ascii="Arial" w:hAnsi="Arial" w:cs="Arial"/>
          <w:b/>
        </w:rPr>
        <w:t xml:space="preserve"> No Metálicas</w:t>
      </w:r>
      <w:r w:rsidRPr="0059715B">
        <w:rPr>
          <w:rFonts w:ascii="Arial" w:hAnsi="Arial" w:cs="Arial"/>
        </w:rPr>
        <w:t>, según la clase de sustancia, sin superposición ni prioridad entre ellas.</w:t>
      </w:r>
    </w:p>
    <w:p w:rsidR="003440D7" w:rsidRDefault="003440D7" w:rsidP="003440D7">
      <w:pPr>
        <w:autoSpaceDE w:val="0"/>
        <w:autoSpaceDN w:val="0"/>
        <w:adjustRightInd w:val="0"/>
        <w:spacing w:after="0" w:line="240" w:lineRule="auto"/>
        <w:jc w:val="both"/>
        <w:rPr>
          <w:rFonts w:ascii="Arial" w:hAnsi="Arial" w:cs="Arial"/>
          <w:sz w:val="23"/>
          <w:szCs w:val="23"/>
        </w:rPr>
      </w:pPr>
      <w:r>
        <w:rPr>
          <w:rFonts w:ascii="Arial" w:hAnsi="Arial" w:cs="Arial"/>
          <w:sz w:val="23"/>
          <w:szCs w:val="23"/>
        </w:rPr>
        <w:t>Del conjunto de minerales producidos en el Perú, el volumen de producción de los minerales no metálicos excede largamente la de los minerales metálicos, no obstante su valor unitario es mucho más bajo, situación que es poco conocida en el país. De ahí la importancia del impacto ambiental de la minería no metálica.</w:t>
      </w:r>
    </w:p>
    <w:p w:rsidR="003440D7" w:rsidRDefault="003440D7" w:rsidP="003440D7">
      <w:pPr>
        <w:autoSpaceDE w:val="0"/>
        <w:autoSpaceDN w:val="0"/>
        <w:adjustRightInd w:val="0"/>
        <w:spacing w:after="0" w:line="240" w:lineRule="auto"/>
        <w:rPr>
          <w:rFonts w:ascii="Arial" w:hAnsi="Arial" w:cs="Arial"/>
          <w:sz w:val="23"/>
          <w:szCs w:val="23"/>
        </w:rPr>
      </w:pPr>
      <w:r>
        <w:rPr>
          <w:rFonts w:ascii="Arial" w:hAnsi="Arial" w:cs="Arial"/>
          <w:sz w:val="23"/>
          <w:szCs w:val="23"/>
        </w:rPr>
        <w:t>Sin ser limitativa, en la siguiente lista se presentan los grupos más importantes de</w:t>
      </w:r>
    </w:p>
    <w:p w:rsidR="003440D7" w:rsidRDefault="003440D7" w:rsidP="003440D7">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minerales</w:t>
      </w:r>
      <w:proofErr w:type="gramEnd"/>
      <w:r>
        <w:rPr>
          <w:rFonts w:ascii="Arial" w:hAnsi="Arial" w:cs="Arial"/>
          <w:sz w:val="23"/>
          <w:szCs w:val="23"/>
        </w:rPr>
        <w:t xml:space="preserve"> no metálicos en el país:</w:t>
      </w:r>
    </w:p>
    <w:p w:rsidR="00790838" w:rsidRDefault="00790838" w:rsidP="003440D7">
      <w:pPr>
        <w:autoSpaceDE w:val="0"/>
        <w:autoSpaceDN w:val="0"/>
        <w:adjustRightInd w:val="0"/>
        <w:spacing w:after="0" w:line="240" w:lineRule="auto"/>
        <w:rPr>
          <w:rFonts w:ascii="Arial" w:hAnsi="Arial" w:cs="Arial"/>
          <w:sz w:val="23"/>
          <w:szCs w:val="23"/>
        </w:rPr>
      </w:pPr>
    </w:p>
    <w:p w:rsidR="003440D7" w:rsidRDefault="003440D7" w:rsidP="003440D7">
      <w:pPr>
        <w:autoSpaceDE w:val="0"/>
        <w:autoSpaceDN w:val="0"/>
        <w:adjustRightInd w:val="0"/>
        <w:spacing w:after="0" w:line="240" w:lineRule="auto"/>
        <w:rPr>
          <w:rFonts w:ascii="Arial" w:hAnsi="Arial" w:cs="Arial"/>
          <w:sz w:val="23"/>
          <w:szCs w:val="23"/>
        </w:rPr>
      </w:pP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Arial" w:hAnsi="Arial" w:cs="Arial"/>
          <w:sz w:val="23"/>
          <w:szCs w:val="23"/>
        </w:rPr>
        <w:t>Materiales de construcción: arenisca, sillar, piedra y cascajo</w:t>
      </w:r>
    </w:p>
    <w:p w:rsidR="003440D7" w:rsidRDefault="003440D7" w:rsidP="003440D7">
      <w:pPr>
        <w:autoSpaceDE w:val="0"/>
        <w:autoSpaceDN w:val="0"/>
        <w:adjustRightInd w:val="0"/>
        <w:spacing w:after="0" w:line="240" w:lineRule="auto"/>
        <w:rPr>
          <w:rFonts w:ascii="Arial" w:hAnsi="Arial" w:cs="Arial"/>
          <w:sz w:val="23"/>
          <w:szCs w:val="23"/>
        </w:rPr>
      </w:pP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Arial" w:hAnsi="Arial" w:cs="Arial"/>
          <w:sz w:val="23"/>
          <w:szCs w:val="23"/>
        </w:rPr>
        <w:t>Arcillas para la producción de ladrillos</w:t>
      </w:r>
    </w:p>
    <w:p w:rsidR="003440D7" w:rsidRDefault="003440D7" w:rsidP="003440D7">
      <w:pPr>
        <w:autoSpaceDE w:val="0"/>
        <w:autoSpaceDN w:val="0"/>
        <w:adjustRightInd w:val="0"/>
        <w:spacing w:after="0" w:line="240" w:lineRule="auto"/>
        <w:rPr>
          <w:rFonts w:ascii="Arial" w:hAnsi="Arial" w:cs="Arial"/>
          <w:sz w:val="23"/>
          <w:szCs w:val="23"/>
        </w:rPr>
      </w:pP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Arial" w:hAnsi="Arial" w:cs="Arial"/>
          <w:sz w:val="23"/>
          <w:szCs w:val="23"/>
        </w:rPr>
        <w:t>Agregados calcáreos: Calizas, yeso, puzolana</w:t>
      </w:r>
    </w:p>
    <w:p w:rsidR="003440D7" w:rsidRDefault="003440D7" w:rsidP="003440D7">
      <w:pPr>
        <w:autoSpaceDE w:val="0"/>
        <w:autoSpaceDN w:val="0"/>
        <w:adjustRightInd w:val="0"/>
        <w:spacing w:after="0" w:line="240" w:lineRule="auto"/>
        <w:rPr>
          <w:rFonts w:ascii="Arial" w:hAnsi="Arial" w:cs="Arial"/>
          <w:sz w:val="23"/>
          <w:szCs w:val="23"/>
        </w:rPr>
      </w:pP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Arial" w:hAnsi="Arial" w:cs="Arial"/>
          <w:sz w:val="23"/>
          <w:szCs w:val="23"/>
        </w:rPr>
        <w:t xml:space="preserve">Rocas ornamentales: Mármol, </w:t>
      </w:r>
      <w:proofErr w:type="spellStart"/>
      <w:r>
        <w:rPr>
          <w:rFonts w:ascii="Arial" w:hAnsi="Arial" w:cs="Arial"/>
          <w:sz w:val="23"/>
          <w:szCs w:val="23"/>
        </w:rPr>
        <w:t>travertino</w:t>
      </w:r>
      <w:proofErr w:type="spellEnd"/>
      <w:r>
        <w:rPr>
          <w:rFonts w:ascii="Arial" w:hAnsi="Arial" w:cs="Arial"/>
          <w:sz w:val="23"/>
          <w:szCs w:val="23"/>
        </w:rPr>
        <w:t>, granitos, ónix</w:t>
      </w:r>
    </w:p>
    <w:p w:rsidR="003440D7" w:rsidRDefault="003440D7" w:rsidP="003440D7">
      <w:pPr>
        <w:autoSpaceDE w:val="0"/>
        <w:autoSpaceDN w:val="0"/>
        <w:adjustRightInd w:val="0"/>
        <w:spacing w:after="0" w:line="240" w:lineRule="auto"/>
        <w:rPr>
          <w:rFonts w:ascii="Arial" w:hAnsi="Arial" w:cs="Arial"/>
          <w:sz w:val="23"/>
          <w:szCs w:val="23"/>
        </w:rPr>
      </w:pP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Arial" w:hAnsi="Arial" w:cs="Arial"/>
          <w:sz w:val="23"/>
          <w:szCs w:val="23"/>
        </w:rPr>
        <w:t>Minerales industriales: Sílice, diatomita, bentonita, zeolitas, caolín, boratos,</w:t>
      </w:r>
    </w:p>
    <w:p w:rsidR="00790838" w:rsidRDefault="00790838" w:rsidP="00790838">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   </w:t>
      </w:r>
      <w:proofErr w:type="gramStart"/>
      <w:r>
        <w:rPr>
          <w:rFonts w:ascii="Arial" w:hAnsi="Arial" w:cs="Arial"/>
          <w:sz w:val="23"/>
          <w:szCs w:val="23"/>
        </w:rPr>
        <w:t>feldespatos</w:t>
      </w:r>
      <w:proofErr w:type="gramEnd"/>
      <w:r>
        <w:rPr>
          <w:rFonts w:ascii="Arial" w:hAnsi="Arial" w:cs="Arial"/>
          <w:sz w:val="23"/>
          <w:szCs w:val="23"/>
        </w:rPr>
        <w:t xml:space="preserve">, abrasivos, gránate. </w:t>
      </w:r>
    </w:p>
    <w:p w:rsidR="00790838" w:rsidRDefault="00790838" w:rsidP="00790838">
      <w:pPr>
        <w:autoSpaceDE w:val="0"/>
        <w:autoSpaceDN w:val="0"/>
        <w:adjustRightInd w:val="0"/>
        <w:spacing w:after="0" w:line="240" w:lineRule="auto"/>
        <w:rPr>
          <w:rFonts w:ascii="Arial" w:hAnsi="Arial" w:cs="Arial"/>
          <w:sz w:val="23"/>
          <w:szCs w:val="23"/>
        </w:rPr>
      </w:pPr>
    </w:p>
    <w:p w:rsidR="003440D7" w:rsidRDefault="00790838" w:rsidP="00790838">
      <w:pPr>
        <w:autoSpaceDE w:val="0"/>
        <w:autoSpaceDN w:val="0"/>
        <w:adjustRightInd w:val="0"/>
        <w:spacing w:after="0" w:line="240" w:lineRule="auto"/>
        <w:rPr>
          <w:rFonts w:ascii="Arial" w:hAnsi="Arial" w:cs="Arial"/>
          <w:sz w:val="23"/>
          <w:szCs w:val="23"/>
        </w:rPr>
      </w:pPr>
      <w:r>
        <w:rPr>
          <w:rFonts w:ascii="Arial" w:hAnsi="Arial" w:cs="Arial"/>
          <w:sz w:val="23"/>
          <w:szCs w:val="23"/>
        </w:rPr>
        <w:t>De</w:t>
      </w:r>
      <w:r w:rsidR="003440D7">
        <w:rPr>
          <w:rFonts w:ascii="Arial" w:hAnsi="Arial" w:cs="Arial"/>
          <w:sz w:val="23"/>
          <w:szCs w:val="23"/>
        </w:rPr>
        <w:t xml:space="preserve"> las Empresas dedicadas a la explotación de minerales no metálicos; se trata en su mayoría de pequeñas empresas, las cuales abastecen al mercado local, como es el caso --por ejemplo-- de las empresas artesanales que producen arena y agregados para construcción. Con la excepción de unas cuantas empresas grandes</w:t>
      </w:r>
      <w:r>
        <w:rPr>
          <w:rFonts w:ascii="Arial" w:hAnsi="Arial" w:cs="Arial"/>
          <w:sz w:val="23"/>
          <w:szCs w:val="23"/>
        </w:rPr>
        <w:t>.</w:t>
      </w:r>
      <w:bookmarkStart w:id="0" w:name="_GoBack"/>
      <w:bookmarkEnd w:id="0"/>
      <w:r w:rsidR="003440D7">
        <w:rPr>
          <w:rFonts w:ascii="Arial" w:hAnsi="Arial" w:cs="Arial"/>
          <w:sz w:val="23"/>
          <w:szCs w:val="23"/>
        </w:rPr>
        <w:t xml:space="preserve"> </w:t>
      </w:r>
    </w:p>
    <w:p w:rsidR="003440D7" w:rsidRPr="00A86C5D" w:rsidRDefault="003440D7" w:rsidP="003440D7">
      <w:pPr>
        <w:autoSpaceDE w:val="0"/>
        <w:autoSpaceDN w:val="0"/>
        <w:adjustRightInd w:val="0"/>
        <w:spacing w:after="0" w:line="240" w:lineRule="auto"/>
        <w:jc w:val="both"/>
        <w:rPr>
          <w:rFonts w:ascii="Arial" w:hAnsi="Arial" w:cs="Arial"/>
          <w:sz w:val="23"/>
          <w:szCs w:val="23"/>
        </w:rPr>
      </w:pPr>
    </w:p>
    <w:p w:rsidR="003440D7" w:rsidRDefault="003440D7" w:rsidP="003440D7">
      <w:pPr>
        <w:autoSpaceDE w:val="0"/>
        <w:autoSpaceDN w:val="0"/>
        <w:adjustRightInd w:val="0"/>
        <w:spacing w:after="0" w:line="240" w:lineRule="auto"/>
        <w:jc w:val="both"/>
        <w:rPr>
          <w:b/>
        </w:rPr>
      </w:pPr>
      <w:r>
        <w:rPr>
          <w:rFonts w:ascii="Arial" w:hAnsi="Arial" w:cs="Arial"/>
          <w:sz w:val="23"/>
          <w:szCs w:val="23"/>
        </w:rPr>
        <w:t xml:space="preserve">Para la implementación de un control efectivo de la actividad minera no metálica, es obligatorio establecer una adecuada coordinación con todas las autoridades sectoriales competentes. </w:t>
      </w:r>
      <w:r>
        <w:rPr>
          <w:rFonts w:ascii="Arial" w:hAnsi="Arial" w:cs="Arial"/>
          <w:sz w:val="23"/>
          <w:szCs w:val="23"/>
        </w:rPr>
        <w:t xml:space="preserve">Tal es así que proponemos un </w:t>
      </w:r>
      <w:r>
        <w:rPr>
          <w:b/>
        </w:rPr>
        <w:t xml:space="preserve">PROYECTO DE </w:t>
      </w:r>
      <w:r w:rsidRPr="007A0F6C">
        <w:rPr>
          <w:b/>
        </w:rPr>
        <w:t>ORDENANZA REGIONAL QUE REGULA LA ADQUISICIÓN DE MATERIALES DE CONSTRUCCION</w:t>
      </w:r>
      <w:r>
        <w:rPr>
          <w:b/>
        </w:rPr>
        <w:t xml:space="preserve">; POR PARTE DE MUNICIPALIDADES (Distritales y Provinciales)  Y EL GOBIERNO  </w:t>
      </w:r>
      <w:r>
        <w:rPr>
          <w:b/>
        </w:rPr>
        <w:t xml:space="preserve">REGIONAL </w:t>
      </w:r>
      <w:r>
        <w:rPr>
          <w:b/>
        </w:rPr>
        <w:t>DE CAJAMARCA.</w:t>
      </w:r>
    </w:p>
    <w:p w:rsidR="003440D7" w:rsidRPr="003440D7" w:rsidRDefault="003440D7" w:rsidP="003440D7">
      <w:pPr>
        <w:jc w:val="both"/>
      </w:pPr>
      <w:r w:rsidRPr="003440D7">
        <w:t>Con la finalidad de que estas Instituciones</w:t>
      </w:r>
      <w:r>
        <w:t xml:space="preserve"> </w:t>
      </w:r>
      <w:r w:rsidRPr="003440D7">
        <w:t>verifiquen</w:t>
      </w:r>
      <w:r>
        <w:t xml:space="preserve"> o exijan</w:t>
      </w:r>
      <w:r w:rsidRPr="003440D7">
        <w:t xml:space="preserve"> que para la ejecución de obras públicas (</w:t>
      </w:r>
      <w:r w:rsidRPr="003440D7">
        <w:t>Construcción</w:t>
      </w:r>
      <w:r w:rsidRPr="003440D7">
        <w:t xml:space="preserve">), se acredite la procedencia de esos materiales, de </w:t>
      </w:r>
      <w:r>
        <w:t xml:space="preserve">tal manera que se estaría incentivando la formalización y consecuencia de ello ampliando la Base Tributaria.  </w:t>
      </w:r>
    </w:p>
    <w:p w:rsidR="005913DD" w:rsidRDefault="005913DD"/>
    <w:sectPr w:rsidR="005913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D7"/>
    <w:rsid w:val="003440D7"/>
    <w:rsid w:val="005913DD"/>
    <w:rsid w:val="0079083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440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0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440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0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350</Words>
  <Characters>1929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cp:lastPrinted>2012-02-21T21:44:00Z</cp:lastPrinted>
  <dcterms:created xsi:type="dcterms:W3CDTF">2012-02-21T21:25:00Z</dcterms:created>
  <dcterms:modified xsi:type="dcterms:W3CDTF">2012-02-21T21:45:00Z</dcterms:modified>
</cp:coreProperties>
</file>